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2A2D0" w14:textId="77777777" w:rsidR="00113C5A" w:rsidRDefault="00113C5A" w:rsidP="00AC35C4">
      <w:pPr>
        <w:pStyle w:val="F2-zkladn"/>
        <w:rPr>
          <w:b/>
          <w:sz w:val="28"/>
          <w:szCs w:val="28"/>
        </w:rPr>
      </w:pPr>
    </w:p>
    <w:p w14:paraId="2F4CC7CD"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2F99CCD4"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658ABCCF" wp14:editId="167A2C2A">
                <wp:extent cx="301625" cy="301625"/>
                <wp:effectExtent l="0" t="0" r="0" b="0"/>
                <wp:docPr id="1"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3A53B430" w14:textId="190E4CCD" w:rsidR="000A2833" w:rsidRPr="00B362ED" w:rsidRDefault="00BE7B01" w:rsidP="00AC35C4">
      <w:pPr>
        <w:pStyle w:val="F2-zkladn"/>
        <w:tabs>
          <w:tab w:val="right" w:pos="9070"/>
        </w:tabs>
      </w:pPr>
      <w:r w:rsidRPr="00B362ED">
        <w:rPr>
          <w:noProof/>
        </w:rPr>
        <mc:AlternateContent>
          <mc:Choice Requires="wps">
            <w:drawing>
              <wp:inline distT="0" distB="0" distL="0" distR="0" wp14:anchorId="67FD0E5D" wp14:editId="721CEE15">
                <wp:extent cx="301625" cy="301625"/>
                <wp:effectExtent l="0" t="0" r="0" b="0"/>
                <wp:docPr id="4"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A30105">
        <w:t>2</w:t>
      </w:r>
      <w:r w:rsidR="002031F1">
        <w:t>8</w:t>
      </w:r>
      <w:r w:rsidR="00A30105">
        <w:t xml:space="preserve">. </w:t>
      </w:r>
      <w:r w:rsidR="005E59D1">
        <w:t>dubna</w:t>
      </w:r>
      <w:r w:rsidR="00A30105">
        <w:t xml:space="preserve"> 20</w:t>
      </w:r>
      <w:r w:rsidR="005E59D1">
        <w:t>20</w:t>
      </w:r>
    </w:p>
    <w:p w14:paraId="383460BE" w14:textId="4EDD2C03" w:rsidR="005E59D1" w:rsidRDefault="005E59D1" w:rsidP="004F7624">
      <w:pPr>
        <w:pStyle w:val="FormtovanvHTML"/>
        <w:shd w:val="clear" w:color="auto" w:fill="FFFFFF"/>
        <w:rPr>
          <w:rFonts w:ascii="Arial" w:hAnsi="Arial" w:cs="Arial"/>
          <w:b/>
          <w:sz w:val="28"/>
          <w:szCs w:val="28"/>
          <w:lang w:val="cs-CZ" w:eastAsia="cs-CZ"/>
        </w:rPr>
      </w:pPr>
      <w:r w:rsidRPr="005E59D1">
        <w:rPr>
          <w:rFonts w:ascii="Arial" w:hAnsi="Arial" w:cs="Arial"/>
          <w:b/>
          <w:sz w:val="28"/>
          <w:szCs w:val="28"/>
          <w:lang w:val="cs-CZ" w:eastAsia="cs-CZ"/>
        </w:rPr>
        <w:t>10 tipů Fidelity International pro období</w:t>
      </w:r>
      <w:r w:rsidR="00922BD0">
        <w:rPr>
          <w:rFonts w:ascii="Arial" w:hAnsi="Arial" w:cs="Arial"/>
          <w:b/>
          <w:sz w:val="28"/>
          <w:szCs w:val="28"/>
          <w:lang w:val="cs-CZ" w:eastAsia="cs-CZ"/>
        </w:rPr>
        <w:t xml:space="preserve"> volatility</w:t>
      </w:r>
    </w:p>
    <w:p w14:paraId="4C70218E" w14:textId="7181E35B" w:rsidR="005E59D1" w:rsidRDefault="005E59D1" w:rsidP="00A30105">
      <w:pPr>
        <w:pStyle w:val="F2-zkladn"/>
        <w:tabs>
          <w:tab w:val="right" w:pos="9070"/>
        </w:tabs>
        <w:rPr>
          <w:b/>
          <w:lang w:val="x-none" w:eastAsia="x-none"/>
        </w:rPr>
      </w:pPr>
      <w:r w:rsidRPr="005E59D1">
        <w:rPr>
          <w:b/>
          <w:lang w:val="x-none" w:eastAsia="x-none"/>
        </w:rPr>
        <w:t>Jaký je dopad koronaviru na trhy</w:t>
      </w:r>
      <w:r>
        <w:rPr>
          <w:b/>
          <w:lang w:eastAsia="x-none"/>
        </w:rPr>
        <w:t>,</w:t>
      </w:r>
      <w:r w:rsidRPr="005E59D1">
        <w:rPr>
          <w:b/>
          <w:lang w:val="x-none" w:eastAsia="x-none"/>
        </w:rPr>
        <w:t xml:space="preserve"> odkryjí následující měsíce. Zatím trhy reagují vysokou mírou volatility. Akciové trhy budou vždy procházet obdobím, v němž budou ceny prudce kolísat – to je úplně normální. Důvodem jsou</w:t>
      </w:r>
      <w:r w:rsidR="00073CAF">
        <w:rPr>
          <w:b/>
          <w:lang w:eastAsia="x-none"/>
        </w:rPr>
        <w:t xml:space="preserve"> obvykle</w:t>
      </w:r>
      <w:r w:rsidRPr="005E59D1">
        <w:rPr>
          <w:b/>
          <w:lang w:val="x-none" w:eastAsia="x-none"/>
        </w:rPr>
        <w:t xml:space="preserve"> negativní ekonomické zprávy nebo politická krize. Je pochopitelné, že prudké cenové výkyvy mohou probudit nejistotu mezi investory a motivovat je ke změně dlouhodobé strategie a impulzivnímu prodeji cenných papírů. Tato kolísání na trzích</w:t>
      </w:r>
      <w:r>
        <w:rPr>
          <w:b/>
          <w:lang w:eastAsia="x-none"/>
        </w:rPr>
        <w:t>,</w:t>
      </w:r>
      <w:r w:rsidRPr="005E59D1">
        <w:rPr>
          <w:b/>
          <w:lang w:val="x-none" w:eastAsia="x-none"/>
        </w:rPr>
        <w:t xml:space="preserve"> neboli volatilita, mívají krátký život, </w:t>
      </w:r>
      <w:r w:rsidR="00073CAF">
        <w:rPr>
          <w:b/>
          <w:lang w:eastAsia="x-none"/>
        </w:rPr>
        <w:t>a</w:t>
      </w:r>
      <w:r w:rsidRPr="005E59D1">
        <w:rPr>
          <w:b/>
          <w:lang w:val="x-none" w:eastAsia="x-none"/>
        </w:rPr>
        <w:t xml:space="preserve"> takové výprodeje jsou předčasné. Většina odborníků souhlasí: Nejlepší, co můžete udělat během takových psychicky náročných období na trzích, je zůstat a proplout.</w:t>
      </w:r>
    </w:p>
    <w:p w14:paraId="04C417D6" w14:textId="77777777" w:rsidR="005E59D1" w:rsidRPr="005E59D1" w:rsidRDefault="005E59D1" w:rsidP="005E59D1">
      <w:pPr>
        <w:pStyle w:val="F2-zkladn"/>
        <w:tabs>
          <w:tab w:val="right" w:pos="9070"/>
        </w:tabs>
        <w:rPr>
          <w:b/>
          <w:bCs/>
        </w:rPr>
      </w:pPr>
      <w:r w:rsidRPr="005E59D1">
        <w:rPr>
          <w:b/>
          <w:bCs/>
        </w:rPr>
        <w:t>Zachovejte klid a plánujte na dlouhé období</w:t>
      </w:r>
    </w:p>
    <w:p w14:paraId="71D318A6" w14:textId="54A50DF1" w:rsidR="005E59D1" w:rsidRDefault="005E59D1" w:rsidP="005E59D1">
      <w:pPr>
        <w:pStyle w:val="F2-zkladn"/>
        <w:tabs>
          <w:tab w:val="right" w:pos="9070"/>
        </w:tabs>
      </w:pPr>
      <w:r>
        <w:t>Když investoři reagují na ekonomické, politické nebo korporátní změny, mohou se objevit výrazné cenové skoky. Reakce trhů na takové události j</w:t>
      </w:r>
      <w:r w:rsidR="00073CAF">
        <w:t>sou</w:t>
      </w:r>
      <w:r>
        <w:t xml:space="preserve"> často silnější, než by odpovídalo realitě. </w:t>
      </w:r>
      <w:r w:rsidR="00073CAF">
        <w:t>O to</w:t>
      </w:r>
      <w:r>
        <w:t xml:space="preserve"> důležitější je, aby investoři zůstali klidní a </w:t>
      </w:r>
      <w:r w:rsidR="00073CAF">
        <w:t xml:space="preserve">nedopustili se </w:t>
      </w:r>
      <w:r>
        <w:t>přehnaný</w:t>
      </w:r>
      <w:r w:rsidR="00073CAF">
        <w:t>ch</w:t>
      </w:r>
      <w:r>
        <w:t xml:space="preserve"> reakcí. </w:t>
      </w:r>
      <w:r w:rsidR="00922BD0">
        <w:t>Když pochopí, že o</w:t>
      </w:r>
      <w:r>
        <w:t>bdobí kolísání jsou v dlouhodobých investicích nevyhnutelná, můž</w:t>
      </w:r>
      <w:r w:rsidR="00922BD0">
        <w:t>ou</w:t>
      </w:r>
      <w:r>
        <w:t xml:space="preserve"> reagovat racionálně. Zaměř</w:t>
      </w:r>
      <w:r w:rsidR="00922BD0">
        <w:t>it</w:t>
      </w:r>
      <w:r>
        <w:t xml:space="preserve"> se na své dlouhodobé investiční cíle, aby mohli objektivněji zhodnotit krátkodobá období volatility. A pokud si ponecháte investice i v obdobích ekonomického poklesu, často zabráníte ztrátám, které by byly způsobeny předčasným prodejem vašich investic.</w:t>
      </w:r>
    </w:p>
    <w:p w14:paraId="4A658314" w14:textId="77777777" w:rsidR="005E59D1" w:rsidRPr="005E59D1" w:rsidRDefault="005E59D1" w:rsidP="005E59D1">
      <w:pPr>
        <w:pStyle w:val="F2-zkladn"/>
        <w:tabs>
          <w:tab w:val="right" w:pos="9070"/>
        </w:tabs>
        <w:rPr>
          <w:b/>
          <w:bCs/>
        </w:rPr>
      </w:pPr>
      <w:r w:rsidRPr="005E59D1">
        <w:rPr>
          <w:b/>
          <w:bCs/>
        </w:rPr>
        <w:t>Riziko spojené s akciemi se obvykle dlouhodobě vyplatí</w:t>
      </w:r>
    </w:p>
    <w:p w14:paraId="336269F6" w14:textId="2A44BD98" w:rsidR="005E59D1" w:rsidRDefault="005E59D1" w:rsidP="005E59D1">
      <w:pPr>
        <w:pStyle w:val="F2-zkladn"/>
        <w:tabs>
          <w:tab w:val="right" w:pos="9070"/>
        </w:tabs>
      </w:pPr>
      <w:r>
        <w:t>Ve srovnání s investory do dluhopisů jsou akcionáři často odměněni nadprůměrným výnosem, který kompenzuje riziko, které podstupují. V tomto kontextu je důležité říct jasně jednu věc: Riziková hodnota investice není synonymem její volatility. Volatilita se týká toho, jak dramaticky může kolísat hodnota investice. Riziková hodnota naopak měří pravděpodobnost ztráty. Hodnota akcie může kolísat, ale z dlouhodobého hlediska jsou ceny akcií určovány podle zisků firem. Jednoduše řečeno: Dokonce i když bude hodnota akcie krátkodobě prudce kolísat, z dlouhodobého hlediska se může zvýšit její hodnota. Investice do akcií typicky historicky překonávají ostatní třídy aktiv po úpravě o inflaci.</w:t>
      </w:r>
    </w:p>
    <w:p w14:paraId="6187D815" w14:textId="77777777" w:rsidR="005E59D1" w:rsidRPr="005E59D1" w:rsidRDefault="005E59D1" w:rsidP="005E59D1">
      <w:pPr>
        <w:pStyle w:val="F2-zkladn"/>
        <w:tabs>
          <w:tab w:val="right" w:pos="9070"/>
        </w:tabs>
        <w:rPr>
          <w:b/>
          <w:bCs/>
        </w:rPr>
      </w:pPr>
      <w:r w:rsidRPr="005E59D1">
        <w:rPr>
          <w:b/>
          <w:bCs/>
        </w:rPr>
        <w:t>Zkušenosti ukazují toto: Trhy se dlouhodobě zotavují ze ztrát</w:t>
      </w:r>
    </w:p>
    <w:p w14:paraId="3379960A" w14:textId="31684A24" w:rsidR="005E59D1" w:rsidRDefault="005E59D1" w:rsidP="005E59D1">
      <w:pPr>
        <w:pStyle w:val="F2-zkladn"/>
        <w:tabs>
          <w:tab w:val="right" w:pos="9070"/>
        </w:tabs>
      </w:pPr>
      <w:r>
        <w:t xml:space="preserve">Korekce na trzích jsou normální součástí akciového trhu. Ztráta 10 až 20 % hodnoty akcie nebo indexu ve srovnání s dříve zaznamenaným maximem není neobvyklá během dlouhodobého růstu (býčí trh). Zkušenosti ukazují, že trhy vždy byly schopné vzpamatovat </w:t>
      </w:r>
      <w:r w:rsidR="00073CAF">
        <w:t xml:space="preserve">se </w:t>
      </w:r>
      <w:r>
        <w:t>ze ztrát</w:t>
      </w:r>
      <w:r w:rsidR="00073CAF">
        <w:t>.</w:t>
      </w:r>
    </w:p>
    <w:p w14:paraId="5A7DD380" w14:textId="77777777" w:rsidR="005E59D1" w:rsidRDefault="005E59D1" w:rsidP="005E59D1">
      <w:pPr>
        <w:pStyle w:val="F2-zkladn"/>
        <w:tabs>
          <w:tab w:val="right" w:pos="9070"/>
        </w:tabs>
      </w:pPr>
    </w:p>
    <w:p w14:paraId="2827B57C" w14:textId="77777777" w:rsidR="00913167" w:rsidRDefault="00913167" w:rsidP="005E59D1">
      <w:pPr>
        <w:pStyle w:val="F2-zkladn"/>
        <w:tabs>
          <w:tab w:val="right" w:pos="9070"/>
        </w:tabs>
      </w:pPr>
    </w:p>
    <w:p w14:paraId="166A23AD" w14:textId="77777777" w:rsidR="005E59D1" w:rsidRPr="005E59D1" w:rsidRDefault="005E59D1" w:rsidP="005E59D1">
      <w:pPr>
        <w:pStyle w:val="F2-zkladn"/>
        <w:tabs>
          <w:tab w:val="right" w:pos="9070"/>
        </w:tabs>
        <w:rPr>
          <w:b/>
          <w:bCs/>
        </w:rPr>
      </w:pPr>
      <w:r w:rsidRPr="005E59D1">
        <w:rPr>
          <w:b/>
          <w:bCs/>
        </w:rPr>
        <w:lastRenderedPageBreak/>
        <w:t>Nerozhodujte se unáhleně o nákupu nebo prodeji aktiv</w:t>
      </w:r>
    </w:p>
    <w:p w14:paraId="00E75E39" w14:textId="77777777" w:rsidR="005E59D1" w:rsidRDefault="005E59D1" w:rsidP="005E59D1">
      <w:pPr>
        <w:pStyle w:val="F2-zkladn"/>
        <w:tabs>
          <w:tab w:val="right" w:pos="9070"/>
        </w:tabs>
      </w:pPr>
      <w:r>
        <w:t>Investoři, kteří si investici ponechají, typicky vytěží z dlouhodobého uptrendu na akciových trzích. A naopak ti investoři, kteří často kupují a prodávají, riskují snížení budoucích zisků. Riskují, že jim uniknou tržní rally a nejlepší dny pro nákup akcií, které se často objevují během negativních fází.</w:t>
      </w:r>
    </w:p>
    <w:p w14:paraId="471650ED" w14:textId="77777777" w:rsidR="005E59D1" w:rsidRPr="005E59D1" w:rsidRDefault="005E59D1" w:rsidP="005E59D1">
      <w:pPr>
        <w:pStyle w:val="F2-zkladn"/>
        <w:tabs>
          <w:tab w:val="right" w:pos="9070"/>
        </w:tabs>
        <w:rPr>
          <w:b/>
          <w:bCs/>
        </w:rPr>
      </w:pPr>
      <w:r w:rsidRPr="005E59D1">
        <w:rPr>
          <w:b/>
          <w:bCs/>
        </w:rPr>
        <w:t>Pravidelné investování se dlouhodobě vyplácí</w:t>
      </w:r>
    </w:p>
    <w:p w14:paraId="3E2B71FC" w14:textId="7F7DD837" w:rsidR="005E59D1" w:rsidRDefault="005E59D1" w:rsidP="005E59D1">
      <w:pPr>
        <w:pStyle w:val="F2-zkladn"/>
        <w:tabs>
          <w:tab w:val="right" w:pos="9070"/>
        </w:tabs>
      </w:pPr>
      <w:r>
        <w:t>Bez ohledu na termín vaší investice stojí za to investovat pravidelně, například každý měsíc nebo každé čtvrtletí. Této strategii se říká metoda průměrných nákladů. Při této strategii se negarantují zisky, ani se nechrání investice proti poklesu na trzích, ale důslední investoři, kteří také investují během slabých fází na trzích, těží z příznivějších cen. To snižuje průměrnou kupní cenu. Na klesajícím trhu může být pravidelné investování pro investory v určitém smyslu kontraproduktivní. Toto je však přesně ten čas, kdy se můžou uskutečnit nejlepší investice, neboť ceny aktiv jsou dostupnější a mohou se zhodnotit během následného oživení na trzích.</w:t>
      </w:r>
    </w:p>
    <w:p w14:paraId="23C0A658" w14:textId="77777777" w:rsidR="005E59D1" w:rsidRPr="005E59D1" w:rsidRDefault="005E59D1" w:rsidP="005E59D1">
      <w:pPr>
        <w:pStyle w:val="F2-zkladn"/>
        <w:tabs>
          <w:tab w:val="right" w:pos="9070"/>
        </w:tabs>
        <w:rPr>
          <w:b/>
          <w:bCs/>
        </w:rPr>
      </w:pPr>
      <w:r w:rsidRPr="005E59D1">
        <w:rPr>
          <w:b/>
          <w:bCs/>
        </w:rPr>
        <w:t>Diverzifikujte své investice</w:t>
      </w:r>
    </w:p>
    <w:p w14:paraId="66A784D1" w14:textId="77777777" w:rsidR="00825CD6" w:rsidRDefault="005E59D1" w:rsidP="005E59D1">
      <w:pPr>
        <w:pStyle w:val="F2-zkladn"/>
        <w:tabs>
          <w:tab w:val="right" w:pos="9070"/>
        </w:tabs>
      </w:pPr>
      <w:r>
        <w:t>Na kolísavých trzích není úplně snadné získat jistotu, že investujete do těch správných aktiv. V prostředí trhů tohoto typu se mohou vyhlídky na úspěch v různých sektorech nebo na různých trzích změnit během malé chvilky. Proto je velmi riskantní omezovat investice na určité trhy nebo odvětví. Aby se kompenzovaly nebo minimalizovaly potenciální ztráty, doporučujeme co možná nejvíce diverzifikovat investice. Jeden způsob, jak dosáhnout tohoto typu diverzifikace, je prostřednictvím aktivně řízených fondů, které zahrnují různé třídy aktiv, a zaměřením na dlouhodobou návratnost. Pokud tak učiní</w:t>
      </w:r>
      <w:r w:rsidR="00D06E1D">
        <w:t>te</w:t>
      </w:r>
      <w:r>
        <w:t xml:space="preserve">, znamená to, že vážení rizika je strategicky řízeno a upraveno podle podmínek trhů. Dalším způsobem, jak zmírnit rizika specifická pro určité trhy, je investování v různých zemích. </w:t>
      </w:r>
    </w:p>
    <w:p w14:paraId="30BA309F" w14:textId="439F29CE" w:rsidR="005E59D1" w:rsidRPr="00825CD6" w:rsidRDefault="005E59D1" w:rsidP="005E59D1">
      <w:pPr>
        <w:pStyle w:val="F2-zkladn"/>
        <w:tabs>
          <w:tab w:val="right" w:pos="9070"/>
        </w:tabs>
        <w:rPr>
          <w:b/>
          <w:bCs/>
        </w:rPr>
      </w:pPr>
      <w:r w:rsidRPr="00825CD6">
        <w:rPr>
          <w:b/>
          <w:bCs/>
        </w:rPr>
        <w:t>Investujte do zavedených společností vyplácejících vysoké dividendy</w:t>
      </w:r>
    </w:p>
    <w:p w14:paraId="71E81581" w14:textId="02D3F91F" w:rsidR="005E59D1" w:rsidRDefault="005E59D1" w:rsidP="005E59D1">
      <w:pPr>
        <w:pStyle w:val="F2-zkladn"/>
        <w:tabs>
          <w:tab w:val="right" w:pos="9070"/>
        </w:tabs>
      </w:pPr>
      <w:r>
        <w:t xml:space="preserve">Akcie ziskových společností jsou obzvlášť atraktivní pro investory, protože vyplácejí vysoké dividendy dokonce i během období kolísání na trzích, a tím umožňují stabilní příjmy. Přední globální společnosti mají často lepší pozici na </w:t>
      </w:r>
      <w:r w:rsidR="00D06E1D">
        <w:t xml:space="preserve">volatilních </w:t>
      </w:r>
      <w:r>
        <w:t>trzích, protože jejich vysoké podíly jim umožňují diktovat ceny a generovat stabilnější příjmové toky. Firmy, které podnikají v několika oblastech, mohou lépe vyrovnávat efekty negativních regionálních trendů.</w:t>
      </w:r>
    </w:p>
    <w:p w14:paraId="6F8DFC95" w14:textId="77777777" w:rsidR="005E59D1" w:rsidRPr="005E59D1" w:rsidRDefault="005E59D1" w:rsidP="005E59D1">
      <w:pPr>
        <w:pStyle w:val="F2-zkladn"/>
        <w:tabs>
          <w:tab w:val="right" w:pos="9070"/>
        </w:tabs>
        <w:rPr>
          <w:b/>
          <w:bCs/>
        </w:rPr>
      </w:pPr>
      <w:r w:rsidRPr="005E59D1">
        <w:rPr>
          <w:b/>
          <w:bCs/>
        </w:rPr>
        <w:t>Reinvestujte příjmy pro zvýšení celkové návratnosti</w:t>
      </w:r>
    </w:p>
    <w:p w14:paraId="351FD0BF" w14:textId="6F97214E" w:rsidR="005E59D1" w:rsidRDefault="005E59D1" w:rsidP="005E59D1">
      <w:pPr>
        <w:pStyle w:val="F2-zkladn"/>
        <w:tabs>
          <w:tab w:val="right" w:pos="9070"/>
        </w:tabs>
      </w:pPr>
      <w:r>
        <w:t>Můžete výrazně zvýšit svou dlouhodobou návratnost tak, že budete reinvestovat příjem z</w:t>
      </w:r>
      <w:r w:rsidR="00922BD0">
        <w:t> </w:t>
      </w:r>
      <w:r>
        <w:t>invest</w:t>
      </w:r>
      <w:r w:rsidR="00922BD0">
        <w:t>ic.</w:t>
      </w:r>
    </w:p>
    <w:p w14:paraId="20980987" w14:textId="77777777" w:rsidR="005E59D1" w:rsidRPr="005E59D1" w:rsidRDefault="005E59D1" w:rsidP="005E59D1">
      <w:pPr>
        <w:pStyle w:val="F2-zkladn"/>
        <w:tabs>
          <w:tab w:val="right" w:pos="9070"/>
        </w:tabs>
        <w:rPr>
          <w:b/>
          <w:bCs/>
        </w:rPr>
      </w:pPr>
      <w:r w:rsidRPr="005E59D1">
        <w:rPr>
          <w:b/>
          <w:bCs/>
        </w:rPr>
        <w:t>Podívejte se pozorně na trendy</w:t>
      </w:r>
    </w:p>
    <w:p w14:paraId="696344F9" w14:textId="37DB993D" w:rsidR="00913167" w:rsidRDefault="005E59D1" w:rsidP="005E59D1">
      <w:pPr>
        <w:pStyle w:val="F2-zkladn"/>
        <w:tabs>
          <w:tab w:val="right" w:pos="9070"/>
        </w:tabs>
      </w:pPr>
      <w:r>
        <w:t>Trendy ovlivňují skutečně každý sektor a</w:t>
      </w:r>
      <w:r w:rsidR="00D06E1D">
        <w:t xml:space="preserve"> jsou i </w:t>
      </w:r>
      <w:r>
        <w:t>v</w:t>
      </w:r>
      <w:r w:rsidR="00D06E1D">
        <w:t> </w:t>
      </w:r>
      <w:r>
        <w:t xml:space="preserve">investicích: </w:t>
      </w:r>
      <w:r w:rsidR="00D06E1D">
        <w:t>n</w:t>
      </w:r>
      <w:r>
        <w:t>ová ekonomika, odvětví zdravotnictví a biotechnologi</w:t>
      </w:r>
      <w:r w:rsidR="00922BD0">
        <w:t>e</w:t>
      </w:r>
      <w:r>
        <w:t>, abychom uvedli jen pár příkladů.</w:t>
      </w:r>
      <w:r w:rsidR="00922BD0">
        <w:t xml:space="preserve"> V</w:t>
      </w:r>
      <w:r>
        <w:t xml:space="preserve"> kontextu individuálních tržních trendů bude váš manažer portfolia</w:t>
      </w:r>
      <w:r w:rsidR="00D06E1D">
        <w:t xml:space="preserve"> </w:t>
      </w:r>
      <w:r>
        <w:t xml:space="preserve">diverzifikovat </w:t>
      </w:r>
      <w:r w:rsidR="00922BD0">
        <w:t xml:space="preserve">vaše investice </w:t>
      </w:r>
      <w:r>
        <w:t xml:space="preserve">tak, že </w:t>
      </w:r>
      <w:r w:rsidR="00D06E1D">
        <w:t xml:space="preserve">pro fond </w:t>
      </w:r>
      <w:r>
        <w:t>vybere nejslibnější společnosti.</w:t>
      </w:r>
    </w:p>
    <w:p w14:paraId="2059FA8C" w14:textId="77777777" w:rsidR="005E59D1" w:rsidRPr="005E59D1" w:rsidRDefault="005E59D1" w:rsidP="005E59D1">
      <w:pPr>
        <w:pStyle w:val="F2-zkladn"/>
        <w:tabs>
          <w:tab w:val="right" w:pos="9070"/>
        </w:tabs>
        <w:rPr>
          <w:b/>
          <w:bCs/>
        </w:rPr>
      </w:pPr>
      <w:r w:rsidRPr="005E59D1">
        <w:rPr>
          <w:b/>
          <w:bCs/>
        </w:rPr>
        <w:t>Zaměřte se na aktivní investice jako na strategii úspěchu.</w:t>
      </w:r>
    </w:p>
    <w:p w14:paraId="36ED8A87" w14:textId="7E927F24" w:rsidR="005E59D1" w:rsidRDefault="005E59D1" w:rsidP="005E59D1">
      <w:pPr>
        <w:pStyle w:val="F2-zkladn"/>
        <w:tabs>
          <w:tab w:val="right" w:pos="9070"/>
        </w:tabs>
      </w:pPr>
      <w:r>
        <w:lastRenderedPageBreak/>
        <w:t xml:space="preserve">Zejména v dobách kolísání na trzích mají aktivní investice výhodu oproti pasivním fondům ETF: </w:t>
      </w:r>
      <w:r w:rsidR="00D06E1D">
        <w:t>j</w:t>
      </w:r>
      <w:r>
        <w:t>sou flexibilnější. Zatímco ETF fondy kopírují index bez ohledu na vývoj na trzích, manažeři fondů mohou využívat lukrativních příležitostí s aktivními investicemi během posunů na trzích.</w:t>
      </w:r>
    </w:p>
    <w:p w14:paraId="51E82353" w14:textId="55247AF1" w:rsidR="00A30105" w:rsidRDefault="005E59D1" w:rsidP="005E59D1">
      <w:pPr>
        <w:pStyle w:val="F2-zkladn"/>
        <w:tabs>
          <w:tab w:val="right" w:pos="9070"/>
        </w:tabs>
      </w:pPr>
      <w:r>
        <w:t xml:space="preserve">Ve společnosti Fidelity věříme v aktivní správu fondů. Proto máme jeden z největších týmů analytiků v odvětví správy aktiv. A protože analyzujeme společnosti přísně a nepřetržitě, můžeme s důvěrou investovat, zatímco ostatní investoři stále váhají ve zmatcích na trhu. Další výhodou aktivní správy fondů je to, že opatrný výběr investic může potenciálně zabránit investorům v investování do špatně řízených společností. Pokud můžete obejít tyto typy společností, potom aktivní portfolio podává dlouhodobě lepší výkony než portfolio s ETF. Všechny akcie, jimž se </w:t>
      </w:r>
      <w:r w:rsidR="00D06E1D">
        <w:t xml:space="preserve">úspěšně </w:t>
      </w:r>
      <w:r>
        <w:t>vyhnete, jsou stejně důležité jako ty, které vlastníte.</w:t>
      </w:r>
    </w:p>
    <w:p w14:paraId="51A00F87" w14:textId="77777777" w:rsidR="00073A88" w:rsidRDefault="00073A88" w:rsidP="00AC35C4">
      <w:pPr>
        <w:pStyle w:val="F2-zkladn"/>
        <w:tabs>
          <w:tab w:val="right" w:pos="9070"/>
        </w:tabs>
        <w:rPr>
          <w:b/>
        </w:rPr>
      </w:pPr>
    </w:p>
    <w:p w14:paraId="048088DC" w14:textId="77777777" w:rsidR="001A0CB6" w:rsidRPr="009C3DB4" w:rsidRDefault="001A0CB6" w:rsidP="00AC35C4">
      <w:pPr>
        <w:pStyle w:val="F2-zkladn"/>
        <w:tabs>
          <w:tab w:val="right" w:pos="9070"/>
        </w:tabs>
        <w:rPr>
          <w:b/>
        </w:rPr>
      </w:pPr>
      <w:r w:rsidRPr="009C3DB4">
        <w:rPr>
          <w:b/>
        </w:rPr>
        <w:t>Pro více informací kontaktujte:</w:t>
      </w:r>
    </w:p>
    <w:p w14:paraId="520F1917" w14:textId="77777777" w:rsidR="001A0CB6" w:rsidRPr="009C3DB4" w:rsidRDefault="001A0CB6" w:rsidP="00AC35C4">
      <w:pPr>
        <w:spacing w:before="0" w:line="360" w:lineRule="auto"/>
        <w:rPr>
          <w:b/>
        </w:rPr>
      </w:pPr>
    </w:p>
    <w:p w14:paraId="284277E6" w14:textId="77777777" w:rsidR="001A0CB6" w:rsidRPr="009C3DB4" w:rsidRDefault="001A0CB6" w:rsidP="00AC35C4">
      <w:pPr>
        <w:spacing w:before="0" w:line="360" w:lineRule="auto"/>
        <w:rPr>
          <w:b/>
        </w:rPr>
      </w:pPr>
      <w:smartTag w:uri="urn:schemas-microsoft-com:office:smarttags" w:element="PersonName">
        <w:smartTagPr>
          <w:attr w:name="ProductID" w:val="Marcela Štefcová"/>
        </w:smartTagPr>
        <w:r w:rsidRPr="009C3DB4">
          <w:rPr>
            <w:b/>
          </w:rPr>
          <w:t>Marcela Štefcová</w:t>
        </w:r>
      </w:smartTag>
    </w:p>
    <w:p w14:paraId="18FE85A7" w14:textId="77777777" w:rsidR="001A0CB6" w:rsidRPr="009C3DB4" w:rsidRDefault="001A0CB6" w:rsidP="00AC35C4">
      <w:pPr>
        <w:spacing w:before="0" w:line="240" w:lineRule="atLeast"/>
        <w:rPr>
          <w:b/>
          <w:bCs/>
        </w:rPr>
      </w:pPr>
      <w:r w:rsidRPr="009C3DB4">
        <w:rPr>
          <w:b/>
          <w:bCs/>
        </w:rPr>
        <w:t>Crest Communications, a.s.</w:t>
      </w:r>
    </w:p>
    <w:p w14:paraId="775A1C00" w14:textId="77777777" w:rsidR="001A0CB6" w:rsidRPr="009C3DB4" w:rsidRDefault="001A0CB6" w:rsidP="00AC35C4">
      <w:pPr>
        <w:spacing w:before="0" w:line="240" w:lineRule="atLeast"/>
      </w:pPr>
    </w:p>
    <w:p w14:paraId="56F11F04" w14:textId="77777777" w:rsidR="001A0CB6" w:rsidRPr="009C3DB4" w:rsidRDefault="001A0CB6" w:rsidP="00AC35C4">
      <w:pPr>
        <w:spacing w:before="0" w:line="240" w:lineRule="atLeast"/>
      </w:pPr>
      <w:r w:rsidRPr="009C3DB4">
        <w:t>Ostrovní 126/30</w:t>
      </w:r>
    </w:p>
    <w:p w14:paraId="7B3FAF65" w14:textId="77777777" w:rsidR="001A0CB6" w:rsidRPr="009C3DB4" w:rsidRDefault="001A0CB6" w:rsidP="00AC35C4">
      <w:pPr>
        <w:spacing w:before="0" w:line="240" w:lineRule="atLeast"/>
      </w:pPr>
      <w:r w:rsidRPr="009C3DB4">
        <w:t>110 00 Praha 1</w:t>
      </w:r>
    </w:p>
    <w:p w14:paraId="5538B8D1" w14:textId="77777777" w:rsidR="001A0CB6" w:rsidRPr="009C3DB4" w:rsidRDefault="001A0CB6" w:rsidP="00AC35C4">
      <w:pPr>
        <w:spacing w:before="0" w:line="240" w:lineRule="atLeast"/>
      </w:pPr>
      <w:r w:rsidRPr="009C3DB4">
        <w:t>gsm: + 420 731 613 669</w:t>
      </w:r>
    </w:p>
    <w:p w14:paraId="7C16FEF7" w14:textId="77777777" w:rsidR="001A0CB6" w:rsidRPr="009C3DB4" w:rsidRDefault="00BF2DDC"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19405028" w14:textId="77777777" w:rsidR="001A0CB6" w:rsidRPr="009C3DB4" w:rsidRDefault="001A0CB6" w:rsidP="00AC35C4">
      <w:pPr>
        <w:spacing w:before="0" w:line="240" w:lineRule="atLeast"/>
      </w:pPr>
      <w:r w:rsidRPr="009C3DB4">
        <w:rPr>
          <w:color w:val="000000"/>
        </w:rPr>
        <w:t xml:space="preserve">e-mail: </w:t>
      </w:r>
      <w:hyperlink r:id="rId12" w:history="1">
        <w:r w:rsidRPr="009C3DB4">
          <w:rPr>
            <w:rStyle w:val="Hypertextovodkaz"/>
            <w:color w:val="990033"/>
          </w:rPr>
          <w:t>marcela.stefcova@crestcom.cz</w:t>
        </w:r>
      </w:hyperlink>
    </w:p>
    <w:p w14:paraId="534FBCE9" w14:textId="77777777" w:rsidR="00C16BE6" w:rsidRDefault="00C16BE6" w:rsidP="00C16BE6">
      <w:pPr>
        <w:pStyle w:val="F2-zkladn"/>
        <w:rPr>
          <w:b/>
        </w:rPr>
      </w:pPr>
      <w:r w:rsidRPr="009C3DB4">
        <w:rPr>
          <w:b/>
        </w:rPr>
        <w:t>Informace pro editory:</w:t>
      </w:r>
    </w:p>
    <w:p w14:paraId="350F2132"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r w:rsidRPr="008F1A81">
        <w:rPr>
          <w:b/>
          <w:sz w:val="18"/>
        </w:rPr>
        <w:t xml:space="preserve">Fidelity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(assets under administration)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207939E2" w14:textId="77777777" w:rsidR="00C16BE6" w:rsidRPr="00FA269B" w:rsidRDefault="00C16BE6" w:rsidP="00C16BE6">
      <w:pPr>
        <w:pStyle w:val="F2-zkladn"/>
        <w:rPr>
          <w:b/>
        </w:rPr>
      </w:pPr>
      <w:r w:rsidRPr="00FA269B">
        <w:rPr>
          <w:b/>
        </w:rPr>
        <w:t>Upozornění na rizika</w:t>
      </w:r>
    </w:p>
    <w:p w14:paraId="65AE47D9" w14:textId="77777777" w:rsidR="00C16BE6" w:rsidRPr="00FA269B" w:rsidRDefault="00C16BE6" w:rsidP="00C16BE6">
      <w:pPr>
        <w:pStyle w:val="F2-zkladn"/>
        <w:spacing w:line="240" w:lineRule="auto"/>
        <w:rPr>
          <w:sz w:val="18"/>
          <w:szCs w:val="18"/>
        </w:rPr>
      </w:pPr>
      <w:r w:rsidRPr="00FA269B">
        <w:rPr>
          <w:sz w:val="18"/>
          <w:szCs w:val="18"/>
        </w:rPr>
        <w:t xml:space="preserve">Fidelity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nejnovější půlroční zprávu. Tyto dokumenty tvoří jediný závazný základ pro nákup. Tyto dokumenty získáte bezplatně v pobočce FIL Investment Services GmbH, Kastanienhöhe 1, D-61476 Kronberg im Taunus, Německo, nebo v UniCredit Bank Austria AG, Vordere Zollamtstrasse 13, A-1030 Vídeň, nebo v UniCredit Bank Slovakia, a. s., Šancova 1/A, 813 33 Bratislava, nebo v Unicredit Bank Czech Republic, a. s., náměstí Republiky 3a, 111 21 Praha 1, nebo na adresách www.fidelity.at, www.fidelity.cz, www.fidelity.sk.</w:t>
      </w:r>
    </w:p>
    <w:p w14:paraId="6A074B3D" w14:textId="77777777" w:rsidR="00C16BE6" w:rsidRDefault="00C16BE6" w:rsidP="00C16BE6">
      <w:pPr>
        <w:pStyle w:val="F2-zkladn"/>
        <w:spacing w:line="240" w:lineRule="auto"/>
        <w:rPr>
          <w:b/>
          <w:sz w:val="18"/>
          <w:szCs w:val="18"/>
        </w:rPr>
      </w:pPr>
      <w:r>
        <w:rPr>
          <w:b/>
          <w:sz w:val="18"/>
          <w:szCs w:val="18"/>
        </w:rPr>
        <w:t>Vydává</w:t>
      </w:r>
    </w:p>
    <w:p w14:paraId="34DE4338" w14:textId="77777777" w:rsidR="00C16BE6" w:rsidRPr="00FA269B" w:rsidRDefault="00C16BE6" w:rsidP="00C16BE6">
      <w:pPr>
        <w:pStyle w:val="F2-zkladn"/>
        <w:spacing w:line="240" w:lineRule="auto"/>
        <w:rPr>
          <w:b/>
          <w:sz w:val="18"/>
          <w:szCs w:val="18"/>
        </w:rPr>
      </w:pPr>
      <w:r w:rsidRPr="00FA269B">
        <w:rPr>
          <w:sz w:val="18"/>
          <w:szCs w:val="18"/>
        </w:rPr>
        <w:t xml:space="preserve">FIL (Luxembourg) S.A. Zweigniederlassung Wien, Mariahilfer Straße 36, 1070 Vídeň, IČO: FN 374007 </w:t>
      </w:r>
    </w:p>
    <w:p w14:paraId="4DC58FF0" w14:textId="77777777" w:rsidR="00C16BE6" w:rsidRPr="00FA269B" w:rsidRDefault="00C16BE6" w:rsidP="00C16BE6">
      <w:pPr>
        <w:pStyle w:val="F2-zkladn"/>
        <w:spacing w:line="240" w:lineRule="auto"/>
        <w:rPr>
          <w:sz w:val="18"/>
          <w:szCs w:val="18"/>
        </w:rPr>
      </w:pPr>
      <w:r w:rsidRPr="00FA269B">
        <w:rPr>
          <w:sz w:val="18"/>
          <w:szCs w:val="18"/>
        </w:rPr>
        <w:lastRenderedPageBreak/>
        <w:t>Fidelity, Fidelity International, logo Fidelity International a symbol F jsou registrované ochranné známky společnosti FIL Limited.</w:t>
      </w:r>
    </w:p>
    <w:p w14:paraId="2F2FC6CD"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Notes to editors</w:t>
      </w:r>
    </w:p>
    <w:p w14:paraId="56EA6D6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authorised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14:paraId="7A74EF5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Fidelity only offers information on products and services and does not provide investment advice based on individual circumstances, other than when specifically stipulated by an appropriately authorised firm, in a formal communication with the client.</w:t>
      </w:r>
    </w:p>
    <w:p w14:paraId="730E1F3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organisation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authorised for distribution or where no such authorisation is required.</w:t>
      </w:r>
    </w:p>
    <w:p w14:paraId="7FD14A23"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1B161EF9"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FIL (Luxembourg) S.A. 2a, rue Albert Borschette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UniCredit Bank Austria AG, Schottengasse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Our Paying agent UniCredit Bank Czech Republic a.s., Zeletavska 1525/1, 14092 Prag 4 - Michle,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Gestion, authorised and supervised by the AMF (Autorité des Marchés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FIL Investment Services GmbH, Postfach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Raiffeisen Zentralbank Österreich AG, Akademia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FIL (Luxembourg) S.A., Netherlands Branch (registered with the AFM), World Trade Centre, Tower H, 6th Floor, Zuidplein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UniCredit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a.s., Sancova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14:paraId="3AAEEC7B"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authorised and supervised by the CSSF (Commission de</w:t>
      </w:r>
    </w:p>
    <w:p w14:paraId="63B30319"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Surveillance du Secteur Financier) / FIL Gestion, authorised and supervised by the AMF (Autorité des Marchés Financiers) / FIL Investments Services GmbH.</w:t>
      </w:r>
    </w:p>
    <w:sectPr w:rsidR="00645857" w:rsidRPr="00A30105"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1A4F" w14:textId="77777777" w:rsidR="00BF2DDC" w:rsidRDefault="00BF2DDC">
      <w:r>
        <w:separator/>
      </w:r>
    </w:p>
  </w:endnote>
  <w:endnote w:type="continuationSeparator" w:id="0">
    <w:p w14:paraId="189AF8CA" w14:textId="77777777" w:rsidR="00BF2DDC" w:rsidRDefault="00BF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7CC02"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C82F" w14:textId="77777777" w:rsidR="00BF2DDC" w:rsidRDefault="00BF2DDC">
      <w:r>
        <w:separator/>
      </w:r>
    </w:p>
  </w:footnote>
  <w:footnote w:type="continuationSeparator" w:id="0">
    <w:p w14:paraId="47263F15" w14:textId="77777777" w:rsidR="00BF2DDC" w:rsidRDefault="00BF2DDC">
      <w:r>
        <w:continuationSeparator/>
      </w:r>
    </w:p>
  </w:footnote>
  <w:footnote w:type="continuationNotice" w:id="1">
    <w:p w14:paraId="6D1BC731" w14:textId="77777777" w:rsidR="00BF2DDC" w:rsidRDefault="00BF2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C786"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7F1C" w14:textId="77777777" w:rsidR="001D1343" w:rsidRDefault="00BE7B01">
    <w:pPr>
      <w:pStyle w:val="Zhlav"/>
    </w:pPr>
    <w:r>
      <w:rPr>
        <w:noProof/>
      </w:rPr>
      <w:drawing>
        <wp:anchor distT="0" distB="0" distL="114300" distR="114300" simplePos="0" relativeHeight="251657728" behindDoc="0" locked="0" layoutInCell="1" allowOverlap="1" wp14:anchorId="7A48610D" wp14:editId="45C035FE">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411E0799" w14:textId="77777777" w:rsidR="001D1343" w:rsidRDefault="001D1343">
    <w:pPr>
      <w:pStyle w:val="Zhlav"/>
    </w:pPr>
  </w:p>
  <w:p w14:paraId="38165BCA"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1AFED3F6">
      <w:start w:val="1"/>
      <w:numFmt w:val="none"/>
      <w:pStyle w:val="F6-kol"/>
      <w:lvlText w:val="!! ÚKOL !!"/>
      <w:lvlJc w:val="left"/>
      <w:pPr>
        <w:tabs>
          <w:tab w:val="num" w:pos="0"/>
        </w:tabs>
        <w:ind w:left="0" w:firstLine="0"/>
      </w:pPr>
      <w:rPr>
        <w:rFonts w:hint="default"/>
        <w:b/>
        <w:i w:val="0"/>
        <w:color w:val="0000FF"/>
      </w:rPr>
    </w:lvl>
    <w:lvl w:ilvl="1" w:tplc="2E62CCDC">
      <w:start w:val="1"/>
      <w:numFmt w:val="lowerLetter"/>
      <w:lvlText w:val="%2)"/>
      <w:lvlJc w:val="left"/>
      <w:pPr>
        <w:tabs>
          <w:tab w:val="num" w:pos="743"/>
        </w:tabs>
        <w:ind w:left="743" w:hanging="363"/>
      </w:pPr>
      <w:rPr>
        <w:rFonts w:hint="default"/>
        <w:b/>
        <w:i w:val="0"/>
        <w:color w:val="0000FF"/>
      </w:rPr>
    </w:lvl>
    <w:lvl w:ilvl="2" w:tplc="A35A5E14" w:tentative="1">
      <w:start w:val="1"/>
      <w:numFmt w:val="lowerRoman"/>
      <w:lvlText w:val="%3."/>
      <w:lvlJc w:val="right"/>
      <w:pPr>
        <w:tabs>
          <w:tab w:val="num" w:pos="2160"/>
        </w:tabs>
        <w:ind w:left="2160" w:hanging="180"/>
      </w:pPr>
    </w:lvl>
    <w:lvl w:ilvl="3" w:tplc="A58430B0" w:tentative="1">
      <w:start w:val="1"/>
      <w:numFmt w:val="decimal"/>
      <w:lvlText w:val="%4."/>
      <w:lvlJc w:val="left"/>
      <w:pPr>
        <w:tabs>
          <w:tab w:val="num" w:pos="2880"/>
        </w:tabs>
        <w:ind w:left="2880" w:hanging="360"/>
      </w:pPr>
    </w:lvl>
    <w:lvl w:ilvl="4" w:tplc="29B21C14" w:tentative="1">
      <w:start w:val="1"/>
      <w:numFmt w:val="lowerLetter"/>
      <w:lvlText w:val="%5."/>
      <w:lvlJc w:val="left"/>
      <w:pPr>
        <w:tabs>
          <w:tab w:val="num" w:pos="3600"/>
        </w:tabs>
        <w:ind w:left="3600" w:hanging="360"/>
      </w:pPr>
    </w:lvl>
    <w:lvl w:ilvl="5" w:tplc="9CB44B9E" w:tentative="1">
      <w:start w:val="1"/>
      <w:numFmt w:val="lowerRoman"/>
      <w:lvlText w:val="%6."/>
      <w:lvlJc w:val="right"/>
      <w:pPr>
        <w:tabs>
          <w:tab w:val="num" w:pos="4320"/>
        </w:tabs>
        <w:ind w:left="4320" w:hanging="180"/>
      </w:pPr>
    </w:lvl>
    <w:lvl w:ilvl="6" w:tplc="41A81750" w:tentative="1">
      <w:start w:val="1"/>
      <w:numFmt w:val="decimal"/>
      <w:lvlText w:val="%7."/>
      <w:lvlJc w:val="left"/>
      <w:pPr>
        <w:tabs>
          <w:tab w:val="num" w:pos="5040"/>
        </w:tabs>
        <w:ind w:left="5040" w:hanging="360"/>
      </w:pPr>
    </w:lvl>
    <w:lvl w:ilvl="7" w:tplc="CD389CDC" w:tentative="1">
      <w:start w:val="1"/>
      <w:numFmt w:val="lowerLetter"/>
      <w:lvlText w:val="%8."/>
      <w:lvlJc w:val="left"/>
      <w:pPr>
        <w:tabs>
          <w:tab w:val="num" w:pos="5760"/>
        </w:tabs>
        <w:ind w:left="5760" w:hanging="360"/>
      </w:pPr>
    </w:lvl>
    <w:lvl w:ilvl="8" w:tplc="14984BF4"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5C10518C">
      <w:start w:val="1"/>
      <w:numFmt w:val="none"/>
      <w:pStyle w:val="F7-chyba"/>
      <w:lvlText w:val="!! CHYBA !!"/>
      <w:lvlJc w:val="left"/>
      <w:pPr>
        <w:tabs>
          <w:tab w:val="num" w:pos="0"/>
        </w:tabs>
        <w:ind w:left="0" w:firstLine="0"/>
      </w:pPr>
      <w:rPr>
        <w:rFonts w:hint="default"/>
        <w:b/>
        <w:i w:val="0"/>
        <w:color w:val="FF0000"/>
      </w:rPr>
    </w:lvl>
    <w:lvl w:ilvl="1" w:tplc="EF6E0D2C">
      <w:start w:val="1"/>
      <w:numFmt w:val="lowerLetter"/>
      <w:lvlText w:val="%2."/>
      <w:lvlJc w:val="left"/>
      <w:pPr>
        <w:tabs>
          <w:tab w:val="num" w:pos="1440"/>
        </w:tabs>
        <w:ind w:left="1440" w:hanging="360"/>
      </w:pPr>
    </w:lvl>
    <w:lvl w:ilvl="2" w:tplc="D38E6616" w:tentative="1">
      <w:start w:val="1"/>
      <w:numFmt w:val="lowerRoman"/>
      <w:lvlText w:val="%3."/>
      <w:lvlJc w:val="right"/>
      <w:pPr>
        <w:tabs>
          <w:tab w:val="num" w:pos="2160"/>
        </w:tabs>
        <w:ind w:left="2160" w:hanging="180"/>
      </w:pPr>
    </w:lvl>
    <w:lvl w:ilvl="3" w:tplc="D142644C" w:tentative="1">
      <w:start w:val="1"/>
      <w:numFmt w:val="decimal"/>
      <w:lvlText w:val="%4."/>
      <w:lvlJc w:val="left"/>
      <w:pPr>
        <w:tabs>
          <w:tab w:val="num" w:pos="2880"/>
        </w:tabs>
        <w:ind w:left="2880" w:hanging="360"/>
      </w:pPr>
    </w:lvl>
    <w:lvl w:ilvl="4" w:tplc="133899D6" w:tentative="1">
      <w:start w:val="1"/>
      <w:numFmt w:val="lowerLetter"/>
      <w:lvlText w:val="%5."/>
      <w:lvlJc w:val="left"/>
      <w:pPr>
        <w:tabs>
          <w:tab w:val="num" w:pos="3600"/>
        </w:tabs>
        <w:ind w:left="3600" w:hanging="360"/>
      </w:pPr>
    </w:lvl>
    <w:lvl w:ilvl="5" w:tplc="1B0860C8" w:tentative="1">
      <w:start w:val="1"/>
      <w:numFmt w:val="lowerRoman"/>
      <w:lvlText w:val="%6."/>
      <w:lvlJc w:val="right"/>
      <w:pPr>
        <w:tabs>
          <w:tab w:val="num" w:pos="4320"/>
        </w:tabs>
        <w:ind w:left="4320" w:hanging="180"/>
      </w:pPr>
    </w:lvl>
    <w:lvl w:ilvl="6" w:tplc="4A0C2C26" w:tentative="1">
      <w:start w:val="1"/>
      <w:numFmt w:val="decimal"/>
      <w:lvlText w:val="%7."/>
      <w:lvlJc w:val="left"/>
      <w:pPr>
        <w:tabs>
          <w:tab w:val="num" w:pos="5040"/>
        </w:tabs>
        <w:ind w:left="5040" w:hanging="360"/>
      </w:pPr>
    </w:lvl>
    <w:lvl w:ilvl="7" w:tplc="3DCA0310" w:tentative="1">
      <w:start w:val="1"/>
      <w:numFmt w:val="lowerLetter"/>
      <w:lvlText w:val="%8."/>
      <w:lvlJc w:val="left"/>
      <w:pPr>
        <w:tabs>
          <w:tab w:val="num" w:pos="5760"/>
        </w:tabs>
        <w:ind w:left="5760" w:hanging="360"/>
      </w:pPr>
    </w:lvl>
    <w:lvl w:ilvl="8" w:tplc="D24C3A98"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CAF"/>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31F1"/>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1295"/>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59D1"/>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25CD6"/>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3167"/>
    <w:rsid w:val="009145F6"/>
    <w:rsid w:val="00917246"/>
    <w:rsid w:val="00917547"/>
    <w:rsid w:val="0091759A"/>
    <w:rsid w:val="00920F36"/>
    <w:rsid w:val="00922BD0"/>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A6A60"/>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2DDC"/>
    <w:rsid w:val="00BF6FA9"/>
    <w:rsid w:val="00C02033"/>
    <w:rsid w:val="00C05FD9"/>
    <w:rsid w:val="00C06C54"/>
    <w:rsid w:val="00C105ED"/>
    <w:rsid w:val="00C109F0"/>
    <w:rsid w:val="00C11925"/>
    <w:rsid w:val="00C11D87"/>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06E1D"/>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4649"/>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4436A81A"/>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customStyle="1" w:styleId="Podtitul">
    <w:name w:val="Podtitul"/>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1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2" ma:contentTypeDescription="Create a new document." ma:contentTypeScope="" ma:versionID="84f5dca61ca6ff64e84943ea1911b8ec">
  <xsd:schema xmlns:xsd="http://www.w3.org/2001/XMLSchema" xmlns:xs="http://www.w3.org/2001/XMLSchema" xmlns:p="http://schemas.microsoft.com/office/2006/metadata/properties" xmlns:ns3="d341f9ec-e37c-4879-928a-81481df812a9" targetNamespace="http://schemas.microsoft.com/office/2006/metadata/properties" ma:root="true" ma:fieldsID="f3319e0faa1071996e724859b92c6032" ns3:_="">
    <xsd:import namespace="d341f9ec-e37c-4879-928a-81481df812a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24FB7-6C78-4D87-BC89-E6EB01146AD2}">
  <ds:schemaRefs>
    <ds:schemaRef ds:uri="http://schemas.microsoft.com/sharepoint/v3/contenttype/forms"/>
  </ds:schemaRefs>
</ds:datastoreItem>
</file>

<file path=customXml/itemProps2.xml><?xml version="1.0" encoding="utf-8"?>
<ds:datastoreItem xmlns:ds="http://schemas.openxmlformats.org/officeDocument/2006/customXml" ds:itemID="{8AF8EC65-032A-435C-9498-D224270FC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40C24-307A-421C-BFE3-83315FF2CC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5D03CA-BE01-449A-BDA1-EE54B82F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10601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12373</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Markéta Damková</cp:lastModifiedBy>
  <cp:revision>5</cp:revision>
  <cp:lastPrinted>2015-12-01T02:29:00Z</cp:lastPrinted>
  <dcterms:created xsi:type="dcterms:W3CDTF">2020-04-27T21:40:00Z</dcterms:created>
  <dcterms:modified xsi:type="dcterms:W3CDTF">2020-04-28T12:59:00Z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